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9D" w:rsidRPr="005F49DE" w:rsidRDefault="003A749D" w:rsidP="005F49DE">
      <w:pPr>
        <w:pStyle w:val="Default"/>
        <w:spacing w:after="85"/>
        <w:jc w:val="center"/>
        <w:rPr>
          <w:b/>
          <w:bCs/>
          <w:color w:val="005E88"/>
          <w:sz w:val="28"/>
          <w:szCs w:val="28"/>
        </w:rPr>
      </w:pPr>
      <w:bookmarkStart w:id="0" w:name="_GoBack"/>
      <w:bookmarkEnd w:id="0"/>
      <w:r w:rsidRPr="005F49DE">
        <w:rPr>
          <w:b/>
          <w:bCs/>
          <w:color w:val="005E88"/>
          <w:sz w:val="28"/>
          <w:szCs w:val="28"/>
        </w:rPr>
        <w:t>PROFESSIONAL ENGINEER</w:t>
      </w:r>
    </w:p>
    <w:p w:rsidR="003A749D" w:rsidRPr="005F49DE" w:rsidRDefault="003A749D" w:rsidP="005F49DE">
      <w:pPr>
        <w:pStyle w:val="Default"/>
        <w:spacing w:after="85"/>
        <w:jc w:val="center"/>
        <w:rPr>
          <w:b/>
          <w:bCs/>
          <w:color w:val="005E88"/>
          <w:sz w:val="28"/>
          <w:szCs w:val="28"/>
        </w:rPr>
      </w:pPr>
      <w:r w:rsidRPr="005F49DE">
        <w:rPr>
          <w:b/>
          <w:bCs/>
          <w:color w:val="005E88"/>
          <w:sz w:val="28"/>
          <w:szCs w:val="28"/>
        </w:rPr>
        <w:t>Summary Statement</w:t>
      </w:r>
    </w:p>
    <w:p w:rsidR="005F49DE" w:rsidRDefault="005F49DE">
      <w:pPr>
        <w:pStyle w:val="Default"/>
        <w:spacing w:after="390" w:line="220" w:lineRule="atLeast"/>
        <w:rPr>
          <w:b/>
          <w:bCs/>
          <w:sz w:val="17"/>
          <w:szCs w:val="17"/>
        </w:rPr>
      </w:pPr>
    </w:p>
    <w:p w:rsidR="003A749D" w:rsidRPr="00D369F5" w:rsidRDefault="003A749D">
      <w:pPr>
        <w:pStyle w:val="Default"/>
        <w:spacing w:after="390" w:line="220" w:lineRule="atLeast"/>
        <w:rPr>
          <w:rFonts w:asciiTheme="minorHAnsi" w:hAnsiTheme="minorHAnsi"/>
          <w:sz w:val="17"/>
          <w:szCs w:val="17"/>
        </w:rPr>
      </w:pPr>
      <w:r w:rsidRPr="00D369F5">
        <w:rPr>
          <w:rFonts w:asciiTheme="minorHAnsi" w:hAnsiTheme="minorHAnsi" w:cs="Times New Roman"/>
          <w:b/>
          <w:bCs/>
          <w:sz w:val="20"/>
          <w:szCs w:val="20"/>
        </w:rPr>
        <w:t>These are the competency Units and Elements. These elements must be addressed in the Summary Statement (see Section C). If you are applying for assessment as a Professional Engineer, you will need to download this page, complete it and lodge it with your application</w:t>
      </w:r>
      <w:r w:rsidRPr="00D369F5">
        <w:rPr>
          <w:rFonts w:asciiTheme="minorHAnsi" w:hAnsiTheme="minorHAnsi" w:cs="Times New Roman"/>
          <w:b/>
          <w:bCs/>
        </w:rPr>
        <w:t>.</w:t>
      </w:r>
      <w:r w:rsidRPr="00D369F5">
        <w:rPr>
          <w:rFonts w:asciiTheme="minorHAnsi" w:hAnsiTheme="minorHAnsi"/>
          <w:b/>
          <w:bCs/>
          <w:sz w:val="17"/>
          <w:szCs w:val="17"/>
        </w:rPr>
        <w:t xml:space="preserve"> 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3452"/>
        <w:gridCol w:w="3586"/>
        <w:gridCol w:w="2430"/>
      </w:tblGrid>
      <w:tr w:rsidR="005F49DE" w:rsidRPr="00D369F5" w:rsidTr="00BF3BE3">
        <w:trPr>
          <w:trHeight w:val="790"/>
        </w:trPr>
        <w:tc>
          <w:tcPr>
            <w:tcW w:w="3452" w:type="dxa"/>
            <w:tcBorders>
              <w:top w:val="single" w:sz="4" w:space="0" w:color="005E88"/>
              <w:left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5F49DE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Competency Element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5F49DE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A brief summary of how you have applied the element</w:t>
            </w: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EF36CA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Paragraph</w:t>
            </w:r>
            <w:r w:rsidR="00EF36CA"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 xml:space="preserve"> number </w:t>
            </w: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in the career episode(s) where the element is addressed</w:t>
            </w:r>
          </w:p>
        </w:tc>
      </w:tr>
      <w:tr w:rsidR="00451803" w:rsidRPr="00D369F5" w:rsidTr="00184D39">
        <w:trPr>
          <w:trHeight w:val="335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PE1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KNOWLEDGE AND SKILL BASE </w:t>
            </w:r>
          </w:p>
        </w:tc>
      </w:tr>
      <w:tr w:rsidR="003A749D" w:rsidRPr="00D369F5" w:rsidTr="00906054">
        <w:trPr>
          <w:trHeight w:val="1231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PE1.1 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Comprehensive, theory-based understanding of the underpinning natural and physical sciences and the engineering fundamentals applicable to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1249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PE1.2 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Conceptual understandi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g of the mathematics, numerical analysis, statistics and co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puter and infor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ation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cie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ces which underpin the engi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eeri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g di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842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PE1.3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In-depth understanding of specialist bodies of knowledge within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840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PE1.4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Discernment of knowledge development and research directions within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906054">
        <w:trPr>
          <w:trHeight w:val="569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451803" w:rsidRPr="00D369F5" w:rsidRDefault="00451803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PE1.5 Knowledge of contextual factors impacting the engineering discipline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906054">
        <w:trPr>
          <w:trHeight w:val="974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451803" w:rsidRPr="00D369F5" w:rsidRDefault="00451803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PE1.6 Unde</w:t>
            </w:r>
            <w:r w:rsidR="00184D39" w:rsidRPr="00D369F5">
              <w:rPr>
                <w:rFonts w:asciiTheme="minorHAnsi" w:hAnsiTheme="minorHAnsi" w:cs="Times New Roman"/>
                <w:sz w:val="20"/>
                <w:szCs w:val="20"/>
              </w:rPr>
              <w:t>r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standing of the scope, principles, norms, accountabilities and bounds of contemporary engineering practice in the specific discipline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184D39">
        <w:trPr>
          <w:trHeight w:val="309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PE2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ENGINEERING APPLICATION ABILITY </w:t>
            </w:r>
          </w:p>
        </w:tc>
      </w:tr>
      <w:tr w:rsidR="003A749D" w:rsidRPr="00D369F5" w:rsidTr="00906054">
        <w:trPr>
          <w:trHeight w:val="810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PE2.1 A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pplication of established engineering methods to complex engineering problem solving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492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PE2.2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Fluent application of engineering techniques, tools and resources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77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PE2.3 A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pplication of systematic engineering synthesis and design processes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868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PE2.4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Application of syste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atic approaches to the conduct and management of engineering projects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184D39">
        <w:trPr>
          <w:trHeight w:val="274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lastRenderedPageBreak/>
              <w:t xml:space="preserve">PE3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PROFESSIONAL AND PERSONAL ATTRIBUTES </w:t>
            </w:r>
          </w:p>
        </w:tc>
      </w:tr>
      <w:tr w:rsidR="003A749D" w:rsidRPr="00D369F5" w:rsidTr="00906054">
        <w:trPr>
          <w:trHeight w:val="717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PE3.1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Ethical conduct and professional accountability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827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PE3.2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Effective oral and written communication in professional and lay domains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696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PE3.3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Creative innovative and proactive </w:t>
            </w:r>
            <w:proofErr w:type="spellStart"/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demeanour</w:t>
            </w:r>
            <w:proofErr w:type="spellEnd"/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77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PE3.4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Professional use and management of information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64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PE3.5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Orderly management of self, and professional conduct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rPr>
          <w:trHeight w:val="555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PE3.6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Effective team membership and team leadership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</w:tbl>
    <w:p w:rsidR="003A749D" w:rsidRPr="00D369F5" w:rsidRDefault="003A749D">
      <w:pPr>
        <w:pStyle w:val="Default"/>
        <w:rPr>
          <w:rFonts w:asciiTheme="minorHAnsi" w:hAnsiTheme="minorHAnsi" w:cs="Times New Roman"/>
          <w:color w:val="auto"/>
          <w:sz w:val="20"/>
          <w:szCs w:val="20"/>
        </w:rPr>
      </w:pPr>
    </w:p>
    <w:p w:rsidR="003A749D" w:rsidRDefault="003A749D">
      <w:pPr>
        <w:pStyle w:val="Default"/>
        <w:jc w:val="center"/>
        <w:rPr>
          <w:rFonts w:ascii="TradeGothic CondEighteen" w:hAnsi="TradeGothic CondEighteen" w:cs="TradeGothic CondEighteen"/>
          <w:color w:val="005E88"/>
          <w:sz w:val="20"/>
          <w:szCs w:val="20"/>
        </w:rPr>
      </w:pPr>
    </w:p>
    <w:sectPr w:rsidR="003A749D" w:rsidSect="00D369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eGothic Bold">
    <w:altName w:val="Trade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 CondEighteen">
    <w:altName w:val="TradeGothic CondEighte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9D"/>
    <w:rsid w:val="00031B7A"/>
    <w:rsid w:val="00184D39"/>
    <w:rsid w:val="003A749D"/>
    <w:rsid w:val="00451803"/>
    <w:rsid w:val="005F49DE"/>
    <w:rsid w:val="007D44E5"/>
    <w:rsid w:val="009015E3"/>
    <w:rsid w:val="00906054"/>
    <w:rsid w:val="00B76059"/>
    <w:rsid w:val="00BF3BE3"/>
    <w:rsid w:val="00CC16CF"/>
    <w:rsid w:val="00CE26BF"/>
    <w:rsid w:val="00D369F5"/>
    <w:rsid w:val="00D644E9"/>
    <w:rsid w:val="00ED6E90"/>
    <w:rsid w:val="00ED743F"/>
    <w:rsid w:val="00E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88F3141-532E-4A23-B73C-5202688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radeGothic Bold" w:hAnsi="TradeGothic Bold" w:cs="TradeGothic 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Engineers Australia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HWGuo</dc:creator>
  <cp:lastModifiedBy>Sid Aris Amarillo</cp:lastModifiedBy>
  <cp:revision>2</cp:revision>
  <dcterms:created xsi:type="dcterms:W3CDTF">2016-03-02T03:07:00Z</dcterms:created>
  <dcterms:modified xsi:type="dcterms:W3CDTF">2016-03-02T03:07:00Z</dcterms:modified>
</cp:coreProperties>
</file>